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8.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9.png" ContentType="image/png"/>
  <Override PartName="/word/media/image10.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0" w:type="dxa"/>
        <w:tblLayout w:type="fixed"/>
        <w:tblCellMar>
          <w:top w:w="170" w:type="dxa"/>
          <w:left w:w="57" w:type="dxa"/>
          <w:bottom w:w="170" w:type="dxa"/>
          <w:right w:w="57" w:type="dxa"/>
        </w:tblCellMar>
      </w:tblPr>
      <w:tblGrid>
        <w:gridCol w:w="9638"/>
      </w:tblGrid>
      <w:tr>
        <w:trPr>
          <w:trHeight w:val="2100" w:hRule="atLeast"/>
        </w:trPr>
        <w:tc>
          <w:tcPr>
            <w:tcW w:w="9638" w:type="dxa"/>
            <w:tcBorders/>
          </w:tcPr>
          <w:p>
            <w:pPr>
              <w:pStyle w:val="Contenudetableau"/>
              <w:widowControl w:val="false"/>
              <w:bidi w:val="0"/>
              <w:jc w:val="center"/>
              <w:rPr>
                <w:rFonts w:ascii="Arial" w:hAnsi="Arial"/>
              </w:rPr>
            </w:pPr>
            <w:r>
              <w:rPr/>
              <w:drawing>
                <wp:inline distT="0" distB="0" distL="0" distR="0">
                  <wp:extent cx="1080135" cy="1146810"/>
                  <wp:effectExtent l="0" t="0" r="0" b="0"/>
                  <wp:docPr id="1" name="Logo FIPHFP" descr="Logo du FIPH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PHFP" descr="Logo du FIPHFP"/>
                          <pic:cNvPicPr>
                            <a:picLocks noChangeAspect="1" noChangeArrowheads="1"/>
                          </pic:cNvPicPr>
                        </pic:nvPicPr>
                        <pic:blipFill>
                          <a:blip r:embed="rId2"/>
                          <a:srcRect l="0" t="0" r="0" b="-10249"/>
                          <a:stretch>
                            <a:fillRect/>
                          </a:stretch>
                        </pic:blipFill>
                        <pic:spPr bwMode="auto">
                          <a:xfrm>
                            <a:off x="0" y="0"/>
                            <a:ext cx="1080135" cy="1146810"/>
                          </a:xfrm>
                          <a:prstGeom prst="rect">
                            <a:avLst/>
                          </a:prstGeom>
                        </pic:spPr>
                      </pic:pic>
                    </a:graphicData>
                  </a:graphic>
                </wp:inline>
              </w:drawing>
            </w:r>
          </w:p>
        </w:tc>
      </w:tr>
      <w:tr>
        <w:trPr>
          <w:trHeight w:val="315" w:hRule="atLeast"/>
        </w:trPr>
        <w:tc>
          <w:tcPr>
            <w:tcW w:w="9638" w:type="dxa"/>
            <w:tcBorders/>
            <w:shd w:fill="23003E" w:val="clear"/>
          </w:tcPr>
          <w:p>
            <w:pPr>
              <w:pStyle w:val="N1"/>
              <w:widowControl w:val="false"/>
              <w:bidi w:val="0"/>
              <w:ind w:left="0" w:hanging="0"/>
              <w:rPr/>
            </w:pPr>
            <w:r>
              <w:rPr/>
              <w:t>L’importance de l’accessibilité des outils numériques : une invitation à l’inclusion</w:t>
            </w:r>
          </w:p>
        </w:tc>
      </w:tr>
      <w:tr>
        <w:trPr/>
        <w:tc>
          <w:tcPr>
            <w:tcW w:w="9638" w:type="dxa"/>
            <w:tcBorders/>
          </w:tcPr>
          <w:p>
            <w:pPr>
              <w:pStyle w:val="NormalWeb"/>
              <w:spacing w:before="227" w:after="170"/>
              <w:rPr/>
            </w:pPr>
            <w:r>
              <w:rPr/>
              <w:t>Chers encadrants et informaticiens,</w:t>
            </w:r>
          </w:p>
          <w:p>
            <w:pPr>
              <w:pStyle w:val="NormalWeb"/>
              <w:rPr/>
            </w:pPr>
            <w:r>
              <w:rPr/>
              <w:t>Nous vivons une ère de transformation sans précédent où le numérique redessine chaque facette de notre société. Qu'il s'agisse de la manière dont nous communiquons, travaillons ou apprenons, le digital est devenu incontournable. Alors que cette révolution se propage à une vitesse fulgurante, touchant chaque secteur et engendrant de nouvelles opportunités, elle apporte également une lueur d'espoir pour les personnes en situation de handicap.</w:t>
            </w:r>
          </w:p>
          <w:p>
            <w:pPr>
              <w:pStyle w:val="NormalWeb"/>
              <w:rPr/>
            </w:pPr>
            <w:r>
              <w:rPr/>
              <w:t>Grâce à l'avènement de l'intelligence artificielle, des outils tels que le sous-titrage en temps réel, la reconnaissance d'images, ou les descriptions d'environnements ouvrent des horizons inimaginables. Cependant, pour que cette transition bénéficie réellement à tous, il est impératif que ces outils soient accessibles. L'accessibilité numérique n'est pas simplement une obligation, c'est une nécessité pour ne pas dire une opportunité pour mieux vivre ensemble.</w:t>
            </w:r>
          </w:p>
          <w:p>
            <w:pPr>
              <w:pStyle w:val="NormalWeb"/>
              <w:rPr/>
            </w:pPr>
            <w:r>
              <w:rPr/>
              <w:t>À vous, qui de part vos responsabilités ou votre métier, êtes des acteurs du numérique, revient la responsabilité de veiller à ce que vos créations soient non seulement innovantes, mais également accessibles à tous. L'accessibilité doit être au cœur de chaque étape du développement, car il en va de l'inclusion des agents comme de nos usagers.</w:t>
            </w:r>
          </w:p>
          <w:p>
            <w:pPr>
              <w:pStyle w:val="NormalWeb"/>
              <w:rPr/>
            </w:pPr>
            <w:r>
              <w:rPr/>
              <w:t>Et c'est dans cette optique qu’à l’occasion de la Semaine Européenne pour L’Emploi des Personnes Handicapées (SEEPH), nous souhaitons attirer votre attention sur les enjeux de l’accessibilité numérique.</w:t>
            </w:r>
          </w:p>
          <w:p>
            <w:pPr>
              <w:pStyle w:val="NormalWeb"/>
              <w:spacing w:before="0" w:after="142"/>
              <w:rPr/>
            </w:pPr>
            <w:r>
              <w:rPr/>
              <w:t>Veuillez trouver ci-dessous quelques ressources permettant de comprendre les enjeux du numérique et les appuis du FIPHFP pour vous accompagner sur l’accessibilité de vos outils numériques.</w:t>
            </w:r>
          </w:p>
          <w:p>
            <w:pPr>
              <w:pStyle w:val="NormalWeb"/>
              <w:widowControl w:val="false"/>
              <w:bidi w:val="0"/>
              <w:spacing w:before="0" w:after="0"/>
              <w:jc w:val="center"/>
              <w:rPr>
                <w:rFonts w:ascii="Arial" w:hAnsi="Arial" w:cs="Arial"/>
                <w:sz w:val="20"/>
                <w:szCs w:val="20"/>
              </w:rPr>
            </w:pPr>
            <w:r>
              <w:rPr>
                <w:rFonts w:cs="Arial"/>
                <w:sz w:val="20"/>
                <w:szCs w:val="20"/>
              </w:rPr>
              <w:drawing>
                <wp:inline distT="0" distB="0" distL="0" distR="0">
                  <wp:extent cx="3514725" cy="1979930"/>
                  <wp:effectExtent l="0" t="0" r="0" b="0"/>
                  <wp:docPr id="2" name="Image 1" descr="Vidéo &quot;Comprendre l'accessibilité numérique en 2 minutes&quo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Vidéo &quot;Comprendre l'accessibilité numérique en 2 minutes&quot;">
                            <a:hlinkClick r:id="rId4"/>
                          </pic:cNvPr>
                          <pic:cNvPicPr>
                            <a:picLocks noChangeAspect="1" noChangeArrowheads="1"/>
                          </pic:cNvPicPr>
                        </pic:nvPicPr>
                        <pic:blipFill>
                          <a:blip r:embed="rId3"/>
                          <a:stretch>
                            <a:fillRect/>
                          </a:stretch>
                        </pic:blipFill>
                        <pic:spPr bwMode="auto">
                          <a:xfrm>
                            <a:off x="0" y="0"/>
                            <a:ext cx="3514725" cy="1979930"/>
                          </a:xfrm>
                          <a:prstGeom prst="rect">
                            <a:avLst/>
                          </a:prstGeom>
                        </pic:spPr>
                      </pic:pic>
                    </a:graphicData>
                  </a:graphic>
                </wp:inline>
              </w:drawing>
            </w:r>
          </w:p>
          <w:p>
            <w:pPr>
              <w:pStyle w:val="NormalWeb"/>
              <w:widowControl w:val="false"/>
              <w:bidi w:val="0"/>
              <w:spacing w:before="0" w:after="397"/>
              <w:jc w:val="center"/>
              <w:rPr>
                <w:rFonts w:ascii="Arial" w:hAnsi="Arial" w:cs="Arial"/>
                <w:sz w:val="20"/>
                <w:szCs w:val="20"/>
              </w:rPr>
            </w:pPr>
            <w:r>
              <w:rPr>
                <w:rFonts w:cs="Arial"/>
                <w:sz w:val="20"/>
                <w:szCs w:val="20"/>
              </w:rPr>
              <w:t>Faisons de la transition numérique une véritable force d'intégration.</w:t>
            </w:r>
          </w:p>
        </w:tc>
      </w:tr>
      <w:tr>
        <w:trPr/>
        <w:tc>
          <w:tcPr>
            <w:tcW w:w="9638" w:type="dxa"/>
            <w:tcBorders/>
            <w:shd w:fill="23003E" w:val="clear"/>
          </w:tcPr>
          <w:p>
            <w:pPr>
              <w:pStyle w:val="N1"/>
              <w:widowControl w:val="false"/>
              <w:bidi w:val="0"/>
              <w:ind w:left="0" w:hanging="0"/>
              <w:rPr/>
            </w:pPr>
            <w:r>
              <w:rPr/>
              <w:t>Pour aller plus loin</w:t>
            </w:r>
          </w:p>
        </w:tc>
      </w:tr>
      <w:tr>
        <w:trPr/>
        <w:tc>
          <w:tcPr>
            <w:tcW w:w="9638" w:type="dxa"/>
            <w:tcBorders/>
          </w:tcPr>
          <w:p>
            <w:pPr>
              <w:pStyle w:val="N2"/>
              <w:widowControl w:val="false"/>
              <w:bidi w:val="0"/>
              <w:spacing w:before="227" w:after="113"/>
              <w:ind w:left="0" w:hanging="0"/>
              <w:rPr/>
            </w:pPr>
            <w:r>
              <w:rPr/>
              <w:t>Témoignages</w:t>
            </w:r>
          </w:p>
          <w:p>
            <w:pPr>
              <w:pStyle w:val="NormalWeb"/>
              <w:widowControl w:val="false"/>
              <w:bidi w:val="0"/>
              <w:spacing w:before="113" w:after="0"/>
              <w:jc w:val="center"/>
              <w:rPr/>
            </w:pPr>
            <w:r>
              <w:rPr/>
              <w:t>L’accessibilité numérique vue par l’association HAUY (déficience visuelle)</w:t>
            </w:r>
          </w:p>
          <w:p>
            <w:pPr>
              <w:pStyle w:val="NormalWeb"/>
              <w:widowControl w:val="false"/>
              <w:bidi w:val="0"/>
              <w:spacing w:before="113" w:after="0"/>
              <w:jc w:val="center"/>
              <w:rPr/>
            </w:pPr>
            <w:r>
              <w:rPr/>
              <w:drawing>
                <wp:inline distT="0" distB="0" distL="0" distR="0">
                  <wp:extent cx="2302510" cy="1296670"/>
                  <wp:effectExtent l="0" t="0" r="0" b="0"/>
                  <wp:docPr id="3" name="Hauy_1" descr="Vidéo : l'accessibilité numérique vue par l'assocaition Hau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y_1" descr="Vidéo : l'accessibilité numérique vue par l'assocaition Hauy">
                            <a:hlinkClick r:id="rId6"/>
                          </pic:cNvPr>
                          <pic:cNvPicPr>
                            <a:picLocks noChangeAspect="1" noChangeArrowheads="1"/>
                          </pic:cNvPicPr>
                        </pic:nvPicPr>
                        <pic:blipFill>
                          <a:blip r:embed="rId5"/>
                          <a:stretch>
                            <a:fillRect/>
                          </a:stretch>
                        </pic:blipFill>
                        <pic:spPr bwMode="auto">
                          <a:xfrm>
                            <a:off x="0" y="0"/>
                            <a:ext cx="2302510" cy="1296670"/>
                          </a:xfrm>
                          <a:prstGeom prst="rect">
                            <a:avLst/>
                          </a:prstGeom>
                        </pic:spPr>
                      </pic:pic>
                    </a:graphicData>
                  </a:graphic>
                </wp:inline>
              </w:drawing>
            </w:r>
          </w:p>
          <w:p>
            <w:pPr>
              <w:pStyle w:val="NormalWeb"/>
              <w:widowControl w:val="false"/>
              <w:bidi w:val="0"/>
              <w:spacing w:before="227" w:after="0"/>
              <w:jc w:val="center"/>
              <w:rPr/>
            </w:pPr>
            <w:r>
              <w:rPr/>
              <w:t>Clémence, non-voyante, nous montre comment elle utilise internet sur son smartphone</w:t>
            </w:r>
          </w:p>
          <w:p>
            <w:pPr>
              <w:pStyle w:val="NormalWeb"/>
              <w:widowControl w:val="false"/>
              <w:bidi w:val="0"/>
              <w:spacing w:before="113" w:after="113"/>
              <w:jc w:val="center"/>
              <w:rPr/>
            </w:pPr>
            <w:r>
              <w:rPr/>
              <w:drawing>
                <wp:inline distT="0" distB="0" distL="0" distR="0">
                  <wp:extent cx="2390775" cy="1346835"/>
                  <wp:effectExtent l="0" t="0" r="0" b="0"/>
                  <wp:docPr id="4" name="Hauy_2 Copie 1" descr="Vidéo &quot;utiliser internet avec un smartphon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uy_2 Copie 1" descr="Vidéo &quot;utiliser internet avec un smartphone&quot;">
                            <a:hlinkClick r:id="rId8"/>
                          </pic:cNvPr>
                          <pic:cNvPicPr>
                            <a:picLocks noChangeAspect="1" noChangeArrowheads="1"/>
                          </pic:cNvPicPr>
                        </pic:nvPicPr>
                        <pic:blipFill>
                          <a:blip r:embed="rId7"/>
                          <a:stretch>
                            <a:fillRect/>
                          </a:stretch>
                        </pic:blipFill>
                        <pic:spPr bwMode="auto">
                          <a:xfrm>
                            <a:off x="0" y="0"/>
                            <a:ext cx="2390775" cy="1346835"/>
                          </a:xfrm>
                          <a:prstGeom prst="rect">
                            <a:avLst/>
                          </a:prstGeom>
                        </pic:spPr>
                      </pic:pic>
                    </a:graphicData>
                  </a:graphic>
                </wp:inline>
              </w:drawing>
            </w:r>
          </w:p>
          <w:p>
            <w:pPr>
              <w:pStyle w:val="N2"/>
              <w:widowControl w:val="false"/>
              <w:bidi w:val="0"/>
              <w:ind w:left="0" w:hanging="0"/>
              <w:rPr/>
            </w:pPr>
            <w:r>
              <w:rPr/>
              <w:t xml:space="preserve">À consulter </w:t>
            </w:r>
          </w:p>
          <w:p>
            <w:pPr>
              <w:pStyle w:val="NormalWeb"/>
              <w:widowControl w:val="false"/>
              <w:bidi w:val="0"/>
              <w:spacing w:before="113" w:after="0"/>
              <w:jc w:val="center"/>
              <w:rPr/>
            </w:pPr>
            <w:r>
              <w:rPr/>
              <w:t>formation interministérielle sur l’accessibilité numérique</w:t>
            </w:r>
          </w:p>
          <w:p>
            <w:pPr>
              <w:pStyle w:val="NormalWeb"/>
              <w:widowControl w:val="false"/>
              <w:bidi w:val="0"/>
              <w:spacing w:before="113" w:after="283"/>
              <w:jc w:val="center"/>
              <w:rPr/>
            </w:pPr>
            <w:r>
              <w:rPr/>
              <w:drawing>
                <wp:anchor behindDoc="0" distT="0" distB="0" distL="0" distR="0" simplePos="0" locked="0" layoutInCell="1" allowOverlap="1" relativeHeight="10">
                  <wp:simplePos x="0" y="0"/>
                  <wp:positionH relativeFrom="column">
                    <wp:align>center</wp:align>
                  </wp:positionH>
                  <wp:positionV relativeFrom="paragraph">
                    <wp:posOffset>179705</wp:posOffset>
                  </wp:positionV>
                  <wp:extent cx="2390775" cy="1346835"/>
                  <wp:effectExtent l="0" t="0" r="0" b="0"/>
                  <wp:wrapTopAndBottom/>
                  <wp:docPr id="5" name="Image4"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a:hlinkClick r:id="rId10"/>
                          </pic:cNvPr>
                          <pic:cNvPicPr>
                            <a:picLocks noChangeAspect="1" noChangeArrowheads="1"/>
                          </pic:cNvPicPr>
                        </pic:nvPicPr>
                        <pic:blipFill>
                          <a:blip r:embed="rId9"/>
                          <a:srcRect l="-124" t="-220" r="-124" b="-220"/>
                          <a:stretch>
                            <a:fillRect/>
                          </a:stretch>
                        </pic:blipFill>
                        <pic:spPr bwMode="auto">
                          <a:xfrm>
                            <a:off x="0" y="0"/>
                            <a:ext cx="2390775" cy="1346835"/>
                          </a:xfrm>
                          <a:prstGeom prst="rect">
                            <a:avLst/>
                          </a:prstGeom>
                        </pic:spPr>
                      </pic:pic>
                    </a:graphicData>
                  </a:graphic>
                </wp:anchor>
              </w:drawing>
            </w:r>
          </w:p>
        </w:tc>
      </w:tr>
      <w:tr>
        <w:trPr/>
        <w:tc>
          <w:tcPr>
            <w:tcW w:w="9638" w:type="dxa"/>
            <w:tcBorders/>
            <w:shd w:fill="23003E" w:val="clear"/>
          </w:tcPr>
          <w:p>
            <w:pPr>
              <w:pStyle w:val="N1"/>
              <w:widowControl w:val="false"/>
              <w:bidi w:val="0"/>
              <w:spacing w:before="28" w:after="113"/>
              <w:ind w:left="0" w:hanging="0"/>
              <w:rPr/>
            </w:pPr>
            <w:r>
              <w:rPr/>
              <w:t>Pour suivre l’actualité du FIPHFP et du Handi-Pacte</w:t>
            </w:r>
          </w:p>
          <w:tbl>
            <w:tblPr>
              <w:tblW w:w="2000" w:type="pct"/>
              <w:jc w:val="center"/>
              <w:tblInd w:w="0" w:type="dxa"/>
              <w:tblLayout w:type="fixed"/>
              <w:tblCellMar>
                <w:top w:w="55" w:type="dxa"/>
                <w:left w:w="55" w:type="dxa"/>
                <w:bottom w:w="55" w:type="dxa"/>
                <w:right w:w="55" w:type="dxa"/>
              </w:tblCellMar>
            </w:tblPr>
            <w:tblGrid>
              <w:gridCol w:w="952"/>
              <w:gridCol w:w="952"/>
              <w:gridCol w:w="951"/>
              <w:gridCol w:w="953"/>
            </w:tblGrid>
            <w:tr>
              <w:trPr/>
              <w:tc>
                <w:tcPr>
                  <w:tcW w:w="952" w:type="dxa"/>
                  <w:tcBorders/>
                </w:tcPr>
                <w:p>
                  <w:pPr>
                    <w:pStyle w:val="Contenudetableau"/>
                    <w:widowControl w:val="false"/>
                    <w:bidi w:val="0"/>
                    <w:jc w:val="center"/>
                    <w:rPr>
                      <w:rFonts w:ascii="Arial" w:hAnsi="Arial"/>
                    </w:rPr>
                  </w:pPr>
                  <w:r>
                    <w:rPr/>
                    <w:drawing>
                      <wp:inline distT="0" distB="0" distL="0" distR="0">
                        <wp:extent cx="394970" cy="394970"/>
                        <wp:effectExtent l="0" t="0" r="0" b="0"/>
                        <wp:docPr id="6" name="Image 6"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a:hlinkClick r:id="rId12"/>
                                </pic:cNvPr>
                                <pic:cNvPicPr>
                                  <a:picLocks noChangeAspect="1" noChangeArrowheads="1"/>
                                </pic:cNvPicPr>
                              </pic:nvPicPr>
                              <pic:blipFill>
                                <a:blip r:embed="rId11"/>
                                <a:stretch>
                                  <a:fillRect/>
                                </a:stretch>
                              </pic:blipFill>
                              <pic:spPr bwMode="auto">
                                <a:xfrm>
                                  <a:off x="0" y="0"/>
                                  <a:ext cx="394970" cy="394970"/>
                                </a:xfrm>
                                <a:prstGeom prst="rect">
                                  <a:avLst/>
                                </a:prstGeom>
                              </pic:spPr>
                            </pic:pic>
                          </a:graphicData>
                        </a:graphic>
                      </wp:inline>
                    </w:drawing>
                  </w:r>
                </w:p>
              </w:tc>
              <w:tc>
                <w:tcPr>
                  <w:tcW w:w="952" w:type="dxa"/>
                  <w:tcBorders/>
                </w:tcPr>
                <w:p>
                  <w:pPr>
                    <w:pStyle w:val="Contenudetableau"/>
                    <w:widowControl w:val="false"/>
                    <w:bidi w:val="0"/>
                    <w:jc w:val="center"/>
                    <w:rPr>
                      <w:rFonts w:ascii="Arial" w:hAnsi="Arial"/>
                    </w:rPr>
                  </w:pPr>
                  <w:r>
                    <w:rPr/>
                    <w:drawing>
                      <wp:inline distT="0" distB="0" distL="0" distR="0">
                        <wp:extent cx="394970" cy="394970"/>
                        <wp:effectExtent l="0" t="0" r="0" b="0"/>
                        <wp:docPr id="7" name="Image 15"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5" descr="">
                                  <a:hlinkClick r:id="rId14"/>
                                </pic:cNvPr>
                                <pic:cNvPicPr>
                                  <a:picLocks noChangeAspect="1" noChangeArrowheads="1"/>
                                </pic:cNvPicPr>
                              </pic:nvPicPr>
                              <pic:blipFill>
                                <a:blip r:embed="rId13"/>
                                <a:stretch>
                                  <a:fillRect/>
                                </a:stretch>
                              </pic:blipFill>
                              <pic:spPr bwMode="auto">
                                <a:xfrm>
                                  <a:off x="0" y="0"/>
                                  <a:ext cx="394970" cy="394970"/>
                                </a:xfrm>
                                <a:prstGeom prst="rect">
                                  <a:avLst/>
                                </a:prstGeom>
                              </pic:spPr>
                            </pic:pic>
                          </a:graphicData>
                        </a:graphic>
                      </wp:inline>
                    </w:drawing>
                  </w:r>
                </w:p>
              </w:tc>
              <w:tc>
                <w:tcPr>
                  <w:tcW w:w="951" w:type="dxa"/>
                  <w:tcBorders/>
                </w:tcPr>
                <w:p>
                  <w:pPr>
                    <w:pStyle w:val="Contenudetableau"/>
                    <w:widowControl w:val="false"/>
                    <w:bidi w:val="0"/>
                    <w:jc w:val="center"/>
                    <w:rPr>
                      <w:rFonts w:ascii="Arial" w:hAnsi="Arial"/>
                    </w:rPr>
                  </w:pPr>
                  <w:r>
                    <w:rPr/>
                    <w:drawing>
                      <wp:inline distT="0" distB="0" distL="0" distR="0">
                        <wp:extent cx="402590" cy="402590"/>
                        <wp:effectExtent l="0" t="0" r="0" b="0"/>
                        <wp:docPr id="8" name="Image 16"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6" descr="">
                                  <a:hlinkClick r:id="rId16"/>
                                </pic:cNvPr>
                                <pic:cNvPicPr>
                                  <a:picLocks noChangeAspect="1" noChangeArrowheads="1"/>
                                </pic:cNvPicPr>
                              </pic:nvPicPr>
                              <pic:blipFill>
                                <a:blip r:embed="rId15"/>
                                <a:stretch>
                                  <a:fillRect/>
                                </a:stretch>
                              </pic:blipFill>
                              <pic:spPr bwMode="auto">
                                <a:xfrm>
                                  <a:off x="0" y="0"/>
                                  <a:ext cx="402590" cy="402590"/>
                                </a:xfrm>
                                <a:prstGeom prst="rect">
                                  <a:avLst/>
                                </a:prstGeom>
                              </pic:spPr>
                            </pic:pic>
                          </a:graphicData>
                        </a:graphic>
                      </wp:inline>
                    </w:drawing>
                  </w:r>
                </w:p>
              </w:tc>
              <w:tc>
                <w:tcPr>
                  <w:tcW w:w="953" w:type="dxa"/>
                  <w:tcBorders/>
                </w:tcPr>
                <w:p>
                  <w:pPr>
                    <w:pStyle w:val="Contenudetableau"/>
                    <w:widowControl w:val="false"/>
                    <w:bidi w:val="0"/>
                    <w:jc w:val="center"/>
                    <w:rPr>
                      <w:rFonts w:ascii="Arial" w:hAnsi="Arial"/>
                    </w:rPr>
                  </w:pPr>
                  <w:r>
                    <w:rPr/>
                    <w:drawing>
                      <wp:inline distT="0" distB="0" distL="0" distR="0">
                        <wp:extent cx="431800" cy="431800"/>
                        <wp:effectExtent l="0" t="0" r="0" b="0"/>
                        <wp:docPr id="9" name="Image 17"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7" descr="">
                                  <a:hlinkClick r:id="rId18"/>
                                </pic:cNvPr>
                                <pic:cNvPicPr>
                                  <a:picLocks noChangeAspect="1" noChangeArrowheads="1"/>
                                </pic:cNvPicPr>
                              </pic:nvPicPr>
                              <pic:blipFill>
                                <a:blip r:embed="rId17"/>
                                <a:stretch>
                                  <a:fillRect/>
                                </a:stretch>
                              </pic:blipFill>
                              <pic:spPr bwMode="auto">
                                <a:xfrm>
                                  <a:off x="0" y="0"/>
                                  <a:ext cx="431800" cy="431800"/>
                                </a:xfrm>
                                <a:prstGeom prst="rect">
                                  <a:avLst/>
                                </a:prstGeom>
                              </pic:spPr>
                            </pic:pic>
                          </a:graphicData>
                        </a:graphic>
                      </wp:inline>
                    </w:drawing>
                  </w:r>
                </w:p>
              </w:tc>
            </w:tr>
          </w:tbl>
          <w:p>
            <w:pPr>
              <w:pStyle w:val="N1"/>
              <w:widowControl w:val="false"/>
              <w:bidi w:val="0"/>
              <w:ind w:left="0" w:hanging="0"/>
              <w:rPr/>
            </w:pPr>
            <w:r>
              <w:rPr/>
            </w:r>
          </w:p>
        </w:tc>
      </w:tr>
      <w:tr>
        <w:trPr/>
        <w:tc>
          <w:tcPr>
            <w:tcW w:w="9638" w:type="dxa"/>
            <w:tcBorders/>
          </w:tcPr>
          <w:tbl>
            <w:tblPr>
              <w:tblW w:w="4100" w:type="pct"/>
              <w:jc w:val="left"/>
              <w:tblInd w:w="0" w:type="dxa"/>
              <w:tblLayout w:type="fixed"/>
              <w:tblCellMar>
                <w:top w:w="284" w:type="dxa"/>
                <w:left w:w="113" w:type="dxa"/>
                <w:bottom w:w="0" w:type="dxa"/>
                <w:right w:w="113" w:type="dxa"/>
              </w:tblCellMar>
            </w:tblPr>
            <w:tblGrid>
              <w:gridCol w:w="3902"/>
              <w:gridCol w:w="3906"/>
            </w:tblGrid>
            <w:tr>
              <w:trPr/>
              <w:tc>
                <w:tcPr>
                  <w:tcW w:w="3902" w:type="dxa"/>
                  <w:tcBorders/>
                </w:tcPr>
                <w:p>
                  <w:pPr>
                    <w:pStyle w:val="Contenudetableau"/>
                    <w:widowControl w:val="false"/>
                    <w:bidi w:val="0"/>
                    <w:jc w:val="right"/>
                    <w:rPr>
                      <w:rFonts w:ascii="Arial" w:hAnsi="Arial"/>
                    </w:rPr>
                  </w:pPr>
                  <w:r>
                    <w:rPr/>
                    <w:drawing>
                      <wp:inline distT="0" distB="0" distL="0" distR="0">
                        <wp:extent cx="821055" cy="828040"/>
                        <wp:effectExtent l="0" t="0" r="0" b="0"/>
                        <wp:docPr id="10"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
                                <pic:cNvPicPr>
                                  <a:picLocks noChangeAspect="1" noChangeArrowheads="1"/>
                                </pic:cNvPicPr>
                              </pic:nvPicPr>
                              <pic:blipFill>
                                <a:blip r:embed="rId19"/>
                                <a:stretch>
                                  <a:fillRect/>
                                </a:stretch>
                              </pic:blipFill>
                              <pic:spPr bwMode="auto">
                                <a:xfrm>
                                  <a:off x="0" y="0"/>
                                  <a:ext cx="821055" cy="828040"/>
                                </a:xfrm>
                                <a:prstGeom prst="rect">
                                  <a:avLst/>
                                </a:prstGeom>
                              </pic:spPr>
                            </pic:pic>
                          </a:graphicData>
                        </a:graphic>
                      </wp:inline>
                    </w:drawing>
                  </w:r>
                </w:p>
              </w:tc>
              <w:tc>
                <w:tcPr>
                  <w:tcW w:w="3906" w:type="dxa"/>
                  <w:tcBorders/>
                </w:tcPr>
                <w:p>
                  <w:pPr>
                    <w:pStyle w:val="Contenudetableau"/>
                    <w:widowControl w:val="false"/>
                    <w:bidi w:val="0"/>
                    <w:jc w:val="left"/>
                    <w:rPr>
                      <w:rFonts w:ascii="Arial" w:hAnsi="Arial"/>
                    </w:rPr>
                  </w:pPr>
                  <w:r>
                    <w:rPr/>
                    <w:drawing>
                      <wp:inline distT="0" distB="0" distL="0" distR="0">
                        <wp:extent cx="1969135" cy="828040"/>
                        <wp:effectExtent l="0" t="0" r="0" b="0"/>
                        <wp:docPr id="11"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descr=""/>
                                <pic:cNvPicPr>
                                  <a:picLocks noChangeAspect="1" noChangeArrowheads="1"/>
                                </pic:cNvPicPr>
                              </pic:nvPicPr>
                              <pic:blipFill>
                                <a:blip r:embed="rId20"/>
                                <a:srcRect l="0" t="0" r="0" b="17332"/>
                                <a:stretch>
                                  <a:fillRect/>
                                </a:stretch>
                              </pic:blipFill>
                              <pic:spPr bwMode="auto">
                                <a:xfrm>
                                  <a:off x="0" y="0"/>
                                  <a:ext cx="1969135" cy="828040"/>
                                </a:xfrm>
                                <a:prstGeom prst="rect">
                                  <a:avLst/>
                                </a:prstGeom>
                              </pic:spPr>
                            </pic:pic>
                          </a:graphicData>
                        </a:graphic>
                      </wp:inline>
                    </w:drawing>
                  </w:r>
                </w:p>
              </w:tc>
            </w:tr>
          </w:tbl>
          <w:p>
            <w:pPr>
              <w:pStyle w:val="Contenudetableau"/>
              <w:widowControl w:val="false"/>
              <w:bidi w:val="0"/>
              <w:jc w:val="left"/>
              <w:rPr>
                <w:rFonts w:ascii="Arial" w:hAnsi="Arial"/>
              </w:rPr>
            </w:pPr>
            <w:r>
              <w:rPr>
                <w:rFonts w:ascii="Arial" w:hAnsi="Arial"/>
              </w:rPr>
            </w:r>
          </w:p>
        </w:tc>
      </w:tr>
      <w:tr>
        <w:trPr/>
        <w:tc>
          <w:tcPr>
            <w:tcW w:w="9638" w:type="dxa"/>
            <w:tcBorders/>
          </w:tcPr>
          <w:p>
            <w:pPr>
              <w:pStyle w:val="NormalWeb"/>
              <w:widowControl w:val="false"/>
              <w:bidi w:val="0"/>
              <w:spacing w:before="113" w:after="170"/>
              <w:jc w:val="center"/>
              <w:rPr>
                <w:rFonts w:ascii="Arial" w:hAnsi="Arial" w:cs="Arial"/>
                <w:color w:val="92B93C"/>
                <w:sz w:val="18"/>
                <w:szCs w:val="18"/>
              </w:rPr>
            </w:pPr>
            <w:r>
              <w:rPr>
                <w:rFonts w:cs="Arial"/>
                <w:color w:val="92B93C"/>
                <w:sz w:val="18"/>
                <w:szCs w:val="18"/>
              </w:rPr>
              <w:t>Ce mail est édité par le Handi-Pacte du FIPHFP Antilles-Guyane</w:t>
              <w:br/>
              <w:t xml:space="preserve">Contact : Stéphane Gainaux - </w:t>
            </w:r>
            <w:hyperlink r:id="rId21">
              <w:r>
                <w:rPr>
                  <w:rStyle w:val="LienInternet"/>
                  <w:rFonts w:cs="Arial"/>
                  <w:color w:val="92B93C"/>
                  <w:sz w:val="18"/>
                  <w:szCs w:val="18"/>
                </w:rPr>
                <w:t>contact@ehconseil.fr</w:t>
              </w:r>
            </w:hyperlink>
            <w:r>
              <w:rPr>
                <w:rFonts w:cs="Arial"/>
                <w:color w:val="92B93C"/>
                <w:sz w:val="18"/>
                <w:szCs w:val="18"/>
              </w:rPr>
              <w:t xml:space="preserve"> - téléphone 03 81 84 17 63</w:t>
            </w:r>
          </w:p>
          <w:p>
            <w:pPr>
              <w:pStyle w:val="Normal"/>
              <w:widowControl w:val="false"/>
              <w:numPr>
                <w:ilvl w:val="0"/>
                <w:numId w:val="0"/>
              </w:numPr>
              <w:bidi w:val="0"/>
              <w:spacing w:lineRule="auto" w:line="240" w:before="0" w:after="0"/>
              <w:ind w:left="0" w:right="0" w:hanging="0"/>
              <w:jc w:val="center"/>
              <w:outlineLvl w:val="0"/>
              <w:rPr>
                <w:rFonts w:ascii="Arial" w:hAnsi="Arial" w:eastAsia="Times New Roman" w:cs="Arial"/>
                <w:b/>
                <w:bCs/>
                <w:color w:val="FFFFFF"/>
                <w:kern w:val="2"/>
                <w:sz w:val="33"/>
                <w:szCs w:val="33"/>
                <w:lang w:eastAsia="fr-FR"/>
              </w:rPr>
            </w:pPr>
            <w:hyperlink r:id="rId22" w:tgtFrame="_blank">
              <w:r>
                <w:rPr>
                  <w:rStyle w:val="LienInternet"/>
                  <w:rFonts w:cs="Arial" w:ascii="Arial" w:hAnsi="Arial"/>
                  <w:color w:val="C9442A"/>
                  <w:sz w:val="18"/>
                  <w:szCs w:val="18"/>
                </w:rPr>
                <w:t>S'abonner à la lettre d'information du FIPHFP</w:t>
              </w:r>
            </w:hyperlink>
          </w:p>
        </w:tc>
      </w:tr>
    </w:tbl>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luto Light">
    <w:charset w:val="01"/>
    <w:family w:val="auto"/>
    <w:pitch w:val="default"/>
  </w:font>
  <w:font w:name="Arial">
    <w:charset w:val="01"/>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luto Light" w:hAnsi="Pluto Light"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Pluto Light" w:hAnsi="Pluto Light" w:eastAsia="NSimSun" w:cs="Lucida Sans"/>
      <w:color w:val="auto"/>
      <w:kern w:val="2"/>
      <w:sz w:val="24"/>
      <w:szCs w:val="24"/>
      <w:lang w:val="fr-FR" w:eastAsia="zh-CN" w:bidi="hi-IN"/>
    </w:rPr>
  </w:style>
  <w:style w:type="character" w:styleId="DefaultParagraphFont">
    <w:name w:val="Default Paragraph Font"/>
    <w:qFormat/>
    <w:rPr/>
  </w:style>
  <w:style w:type="character" w:styleId="LienInternet">
    <w:name w:val="Hyperlink"/>
    <w:basedOn w:val="DefaultParagraphFont"/>
    <w:rPr>
      <w:color w:val="0000FF"/>
      <w:u w:val="single"/>
    </w:rPr>
  </w:style>
  <w:style w:type="character" w:styleId="LienInternetvisit">
    <w:name w:val="FollowedHyperlink"/>
    <w:rPr>
      <w:color w:val="800000"/>
      <w:u w:val="single"/>
    </w:rPr>
  </w:style>
  <w:style w:type="paragraph" w:styleId="Titre">
    <w:name w:val="Titre"/>
    <w:basedOn w:val="Normal"/>
    <w:next w:val="Corpsdetexte"/>
    <w:qFormat/>
    <w:pPr>
      <w:keepNext w:val="true"/>
      <w:spacing w:before="240" w:after="120"/>
    </w:pPr>
    <w:rPr>
      <w:rFonts w:ascii="Pluto Light" w:hAnsi="Pluto Light"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Pluto Light" w:hAnsi="Pluto Light" w:cs="Lucida Sans"/>
    </w:rPr>
  </w:style>
  <w:style w:type="paragraph" w:styleId="Lgende">
    <w:name w:val="Caption"/>
    <w:basedOn w:val="Normal"/>
    <w:qFormat/>
    <w:pPr>
      <w:suppressLineNumbers/>
      <w:spacing w:before="120" w:after="120"/>
    </w:pPr>
    <w:rPr>
      <w:rFonts w:ascii="Pluto Light" w:hAnsi="Pluto Light" w:cs="Lucida Sans"/>
      <w:i/>
      <w:iCs/>
      <w:sz w:val="24"/>
      <w:szCs w:val="24"/>
    </w:rPr>
  </w:style>
  <w:style w:type="paragraph" w:styleId="Index">
    <w:name w:val="Index"/>
    <w:basedOn w:val="Normal"/>
    <w:qFormat/>
    <w:pPr>
      <w:suppressLineNumbers/>
    </w:pPr>
    <w:rPr>
      <w:rFonts w:ascii="Pluto Light" w:hAnsi="Pluto Light" w:cs="Lucida Sans"/>
    </w:rPr>
  </w:style>
  <w:style w:type="paragraph" w:styleId="Contenudetableau">
    <w:name w:val="Contenu de tableau"/>
    <w:basedOn w:val="Normal"/>
    <w:qFormat/>
    <w:pPr>
      <w:widowControl w:val="false"/>
      <w:suppressLineNumbers/>
    </w:pPr>
    <w:rPr/>
  </w:style>
  <w:style w:type="paragraph" w:styleId="NormalWeb">
    <w:name w:val="Normal (Web)"/>
    <w:basedOn w:val="Normal"/>
    <w:qFormat/>
    <w:pPr>
      <w:spacing w:lineRule="auto" w:line="240" w:before="0" w:after="170"/>
    </w:pPr>
    <w:rPr>
      <w:rFonts w:ascii="Arial" w:hAnsi="Arial" w:eastAsia="Times New Roman" w:cs="Times New Roman"/>
      <w:sz w:val="20"/>
      <w:szCs w:val="24"/>
      <w:lang w:eastAsia="fr-FR"/>
    </w:rPr>
  </w:style>
  <w:style w:type="paragraph" w:styleId="N1">
    <w:name w:val="N1"/>
    <w:qFormat/>
    <w:pPr>
      <w:widowControl/>
      <w:suppressAutoHyphens w:val="true"/>
      <w:overflowPunct w:val="false"/>
      <w:bidi w:val="0"/>
      <w:spacing w:before="0" w:after="0"/>
      <w:jc w:val="center"/>
      <w:outlineLvl w:val="0"/>
    </w:pPr>
    <w:rPr>
      <w:rFonts w:ascii="Arial" w:hAnsi="Arial" w:eastAsia="NSimSun" w:cs="Lucida Sans"/>
      <w:b/>
      <w:color w:val="auto"/>
      <w:kern w:val="2"/>
      <w:sz w:val="24"/>
      <w:szCs w:val="24"/>
      <w:lang w:val="fr-FR" w:eastAsia="zh-CN" w:bidi="hi-IN"/>
    </w:rPr>
  </w:style>
  <w:style w:type="paragraph" w:styleId="Titredetableau">
    <w:name w:val="Titre de tableau"/>
    <w:basedOn w:val="Contenudetableau"/>
    <w:qFormat/>
    <w:pPr>
      <w:suppressLineNumbers/>
      <w:jc w:val="center"/>
    </w:pPr>
    <w:rPr>
      <w:b/>
      <w:bCs/>
    </w:rPr>
  </w:style>
  <w:style w:type="paragraph" w:styleId="N2">
    <w:name w:val="N2"/>
    <w:qFormat/>
    <w:pPr>
      <w:widowControl/>
      <w:tabs>
        <w:tab w:val="clear" w:pos="709"/>
      </w:tabs>
      <w:suppressAutoHyphens w:val="true"/>
      <w:overflowPunct w:val="false"/>
      <w:bidi w:val="0"/>
      <w:spacing w:before="227" w:after="113"/>
      <w:jc w:val="center"/>
      <w:outlineLvl w:val="1"/>
    </w:pPr>
    <w:rPr>
      <w:rFonts w:ascii="Arial" w:hAnsi="Arial" w:eastAsia="NSimSun" w:cs="Lucida Sans"/>
      <w:b/>
      <w:i w:val="false"/>
      <w:color w:val="auto"/>
      <w:kern w:val="2"/>
      <w:sz w:val="22"/>
      <w:szCs w:val="24"/>
      <w:lang w:val="fr-F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youtube.com/watch?v=D9UwWfBDlto" TargetMode="External"/><Relationship Id="rId5" Type="http://schemas.openxmlformats.org/officeDocument/2006/relationships/image" Target="media/image3.png"/><Relationship Id="rId6" Type="http://schemas.openxmlformats.org/officeDocument/2006/relationships/hyperlink" Target="https://www.youtube.com/watch?v=fZo_ky7_XZ8" TargetMode="External"/><Relationship Id="rId7" Type="http://schemas.openxmlformats.org/officeDocument/2006/relationships/image" Target="media/image4.png"/><Relationship Id="rId8" Type="http://schemas.openxmlformats.org/officeDocument/2006/relationships/hyperlink" Target="https://www.youtube.com/watch?v=uPCPES9ENvs" TargetMode="External"/><Relationship Id="rId9" Type="http://schemas.openxmlformats.org/officeDocument/2006/relationships/image" Target="media/image5.png"/><Relationship Id="rId10" Type="http://schemas.openxmlformats.org/officeDocument/2006/relationships/hyperlink" Target="https://www.youtube.com/live/_5zIrh-LDto?feature=shared" TargetMode="External"/><Relationship Id="rId11" Type="http://schemas.openxmlformats.org/officeDocument/2006/relationships/image" Target="media/image6.png"/><Relationship Id="rId12" Type="http://schemas.openxmlformats.org/officeDocument/2006/relationships/hyperlink" Target="http://www.fiphfp.fr/" TargetMode="External"/><Relationship Id="rId13" Type="http://schemas.openxmlformats.org/officeDocument/2006/relationships/image" Target="media/image7.png"/><Relationship Id="rId14" Type="http://schemas.openxmlformats.org/officeDocument/2006/relationships/hyperlink" Target="https://twitter.com/FIPHFP" TargetMode="External"/><Relationship Id="rId15" Type="http://schemas.openxmlformats.org/officeDocument/2006/relationships/image" Target="media/image8.png"/><Relationship Id="rId16" Type="http://schemas.openxmlformats.org/officeDocument/2006/relationships/hyperlink" Target="https://fr.linkedin.com/company/fiphfp" TargetMode="External"/><Relationship Id="rId17" Type="http://schemas.openxmlformats.org/officeDocument/2006/relationships/image" Target="media/image9.png"/><Relationship Id="rId18" Type="http://schemas.openxmlformats.org/officeDocument/2006/relationships/hyperlink" Target="https://www.youtube.com/channel/UCGepM40FTwgfGMwYVlvYuTg" TargetMode="External"/><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hyperlink" Target="mailto:contact@ehconseil.fr" TargetMode="External"/><Relationship Id="rId22" Type="http://schemas.openxmlformats.org/officeDocument/2006/relationships/hyperlink" Target="http://www.fiphfp.fr/newsletter/subscribe" TargetMode="Externa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94</TotalTime>
  <Application>LibreOffice/7.5.7.1$Windows_X86_64 LibreOffice_project/47eb0cf7efbacdee9b19ae25d6752381ede23126</Application>
  <AppVersion>15.0000</AppVersion>
  <Pages>2</Pages>
  <Words>330</Words>
  <Characters>2009</Characters>
  <CharactersWithSpaces>2323</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2023-10-19T17:21:23Z</dcterms:created>
  <dc:creator/>
  <dc:description/>
  <dc:language>fr-FR</dc:language>
  <cp:lastModifiedBy/>
  <dcterms:modified xsi:type="dcterms:W3CDTF">2023-10-24T13:42:13Z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